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FE">
        <w:rPr>
          <w:rFonts w:ascii="Times New Roman" w:hAnsi="Times New Roman" w:cs="Times New Roman"/>
          <w:b/>
          <w:sz w:val="28"/>
          <w:szCs w:val="28"/>
        </w:rPr>
        <w:t>1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8641FE">
        <w:rPr>
          <w:rFonts w:ascii="Times New Roman" w:hAnsi="Times New Roman" w:cs="Times New Roman"/>
          <w:b/>
          <w:sz w:val="28"/>
          <w:szCs w:val="28"/>
        </w:rPr>
        <w:t>7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>ведется работа по представлению отчетов за 1 квартал 2017 года</w:t>
      </w:r>
      <w:r w:rsidR="00210F66">
        <w:rPr>
          <w:rFonts w:ascii="Times New Roman" w:hAnsi="Times New Roman" w:cs="Times New Roman"/>
          <w:sz w:val="28"/>
          <w:szCs w:val="28"/>
        </w:rPr>
        <w:t xml:space="preserve"> </w:t>
      </w:r>
      <w:r w:rsidR="004B3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1FE" w:rsidRDefault="008641FE" w:rsidP="008641F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предпринимаются следующие меры: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от 07.07.2016 №  64-рг утвержден «План перевода муниципальных услуг в электронную форму».</w:t>
      </w:r>
    </w:p>
    <w:p w:rsidR="008641FE" w:rsidRPr="002B6A2B" w:rsidRDefault="008641FE" w:rsidP="008641FE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муниципальные услуги переведены в электронный вид (выдача градостроительных планов земельных участков; выдача справок о неиспользовании (использовании) гражданами права приватизации жилых помещений; выдача разрешения на строительство; выдача выписки из реестра муниципального имущества).</w:t>
      </w:r>
      <w:r w:rsidRPr="002B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1FE" w:rsidRPr="002B6A2B" w:rsidRDefault="008641FE" w:rsidP="008641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 и выплата компенсации родителям (законным представителям) детей, посещающих образовательные организации, реализующие программу дошкольного образования; назначение и выплата компенсации стоимости проезда обучающимся образовательных организаций к месту учебы и обратно.</w:t>
      </w:r>
    </w:p>
    <w:p w:rsidR="008641FE" w:rsidRPr="002B6A2B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8641FE" w:rsidRPr="00C5166D" w:rsidRDefault="008641FE" w:rsidP="008641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</w:t>
      </w: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Default="00070002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1 квартале 2017 года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p w:rsidR="008641FE" w:rsidRDefault="008641FE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002" w:rsidRDefault="00070002" w:rsidP="0007000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  <w:r>
        <w:rPr>
          <w:rFonts w:ascii="Times New Roman" w:hAnsi="Times New Roman" w:cs="Times New Roman"/>
          <w:b/>
          <w:sz w:val="28"/>
          <w:szCs w:val="28"/>
        </w:rPr>
        <w:t>, а также в электронном виде за 2016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оказанных услуг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2017</w:t>
            </w:r>
            <w:r w:rsidRPr="00A44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    не в</w:t>
            </w:r>
          </w:p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(работниками органа власти, через МФЦ, </w:t>
            </w:r>
            <w:proofErr w:type="gramEnd"/>
          </w:p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 т.д.)</w:t>
            </w:r>
          </w:p>
        </w:tc>
        <w:tc>
          <w:tcPr>
            <w:tcW w:w="1817" w:type="dxa"/>
          </w:tcPr>
          <w:p w:rsidR="00070002" w:rsidRPr="00A44DA6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070002" w:rsidTr="004955C4">
        <w:tc>
          <w:tcPr>
            <w:tcW w:w="2748" w:type="dxa"/>
          </w:tcPr>
          <w:p w:rsidR="00070002" w:rsidRPr="00A44DA6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070002" w:rsidRPr="00233419" w:rsidRDefault="00070002" w:rsidP="00E27EA5">
            <w:pPr>
              <w:jc w:val="center"/>
              <w:rPr>
                <w:sz w:val="24"/>
                <w:szCs w:val="24"/>
              </w:rPr>
            </w:pPr>
            <w:r w:rsidRPr="00233419">
              <w:rPr>
                <w:sz w:val="24"/>
                <w:szCs w:val="24"/>
              </w:rPr>
              <w:t>12074</w:t>
            </w:r>
          </w:p>
        </w:tc>
        <w:tc>
          <w:tcPr>
            <w:tcW w:w="2421" w:type="dxa"/>
            <w:vAlign w:val="bottom"/>
          </w:tcPr>
          <w:p w:rsidR="00070002" w:rsidRPr="00233419" w:rsidRDefault="00070002" w:rsidP="00E27EA5">
            <w:pPr>
              <w:jc w:val="center"/>
              <w:rPr>
                <w:sz w:val="24"/>
                <w:szCs w:val="24"/>
              </w:rPr>
            </w:pPr>
            <w:r w:rsidRPr="00233419">
              <w:rPr>
                <w:sz w:val="24"/>
                <w:szCs w:val="24"/>
              </w:rPr>
              <w:t>1196</w:t>
            </w:r>
          </w:p>
        </w:tc>
        <w:tc>
          <w:tcPr>
            <w:tcW w:w="1817" w:type="dxa"/>
            <w:vAlign w:val="bottom"/>
          </w:tcPr>
          <w:p w:rsidR="00070002" w:rsidRPr="00233419" w:rsidRDefault="00070002" w:rsidP="00E27EA5">
            <w:pPr>
              <w:jc w:val="center"/>
              <w:rPr>
                <w:sz w:val="24"/>
                <w:szCs w:val="24"/>
              </w:rPr>
            </w:pPr>
            <w:r w:rsidRPr="00233419">
              <w:rPr>
                <w:sz w:val="24"/>
                <w:szCs w:val="24"/>
              </w:rPr>
              <w:t>13270</w:t>
            </w:r>
          </w:p>
        </w:tc>
      </w:tr>
      <w:tr w:rsidR="00070002" w:rsidTr="00E27EA5">
        <w:tc>
          <w:tcPr>
            <w:tcW w:w="2748" w:type="dxa"/>
          </w:tcPr>
          <w:p w:rsidR="00070002" w:rsidRPr="00A44DA6" w:rsidRDefault="00070002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070002" w:rsidRPr="00233419" w:rsidRDefault="00070002" w:rsidP="00E27EA5">
            <w:pPr>
              <w:jc w:val="center"/>
              <w:rPr>
                <w:b/>
                <w:sz w:val="24"/>
                <w:szCs w:val="24"/>
              </w:rPr>
            </w:pPr>
            <w:r w:rsidRPr="00233419">
              <w:rPr>
                <w:b/>
                <w:sz w:val="24"/>
                <w:szCs w:val="24"/>
              </w:rPr>
              <w:t>90%</w:t>
            </w:r>
          </w:p>
        </w:tc>
        <w:tc>
          <w:tcPr>
            <w:tcW w:w="2421" w:type="dxa"/>
          </w:tcPr>
          <w:p w:rsidR="00070002" w:rsidRPr="00233419" w:rsidRDefault="00070002" w:rsidP="00E27E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70002" w:rsidRPr="00233419" w:rsidRDefault="00070002" w:rsidP="00E27E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>
        <w:rPr>
          <w:rFonts w:ascii="Times New Roman" w:hAnsi="Times New Roman" w:cs="Times New Roman"/>
          <w:sz w:val="28"/>
          <w:szCs w:val="28"/>
        </w:rPr>
        <w:t xml:space="preserve">1 квартале 2017 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По состоянию на 01.04.2017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созданы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3ТОСа, один из которых зарегистрирован в декабре 2016 года.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0E6B3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070002" w:rsidRPr="001201C6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1C6">
        <w:rPr>
          <w:rFonts w:ascii="Times New Roman" w:hAnsi="Times New Roman" w:cs="Times New Roman"/>
          <w:sz w:val="28"/>
          <w:szCs w:val="28"/>
        </w:rPr>
        <w:t xml:space="preserve">За 1 квартал 2017 года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была подготовлена документация и проведено </w:t>
      </w:r>
      <w:r w:rsidR="001201C6" w:rsidRPr="001201C6">
        <w:rPr>
          <w:rFonts w:ascii="Times New Roman" w:hAnsi="Times New Roman" w:cs="Times New Roman"/>
          <w:sz w:val="28"/>
          <w:szCs w:val="28"/>
        </w:rPr>
        <w:t>8</w:t>
      </w:r>
      <w:r w:rsidRPr="001201C6">
        <w:rPr>
          <w:rFonts w:ascii="Times New Roman" w:hAnsi="Times New Roman" w:cs="Times New Roman"/>
          <w:sz w:val="28"/>
          <w:szCs w:val="28"/>
        </w:rPr>
        <w:t xml:space="preserve"> электронных аукционов, и </w:t>
      </w:r>
      <w:r w:rsidR="001201C6" w:rsidRPr="001201C6">
        <w:rPr>
          <w:rFonts w:ascii="Times New Roman" w:hAnsi="Times New Roman" w:cs="Times New Roman"/>
          <w:sz w:val="28"/>
          <w:szCs w:val="28"/>
        </w:rPr>
        <w:t>3</w:t>
      </w:r>
      <w:r w:rsidRPr="001201C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57F8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201C6">
        <w:rPr>
          <w:rFonts w:ascii="Times New Roman" w:hAnsi="Times New Roman" w:cs="Times New Roman"/>
          <w:sz w:val="28"/>
          <w:szCs w:val="28"/>
        </w:rPr>
        <w:t xml:space="preserve"> котировки в соответствии с утвержденным графиком.  </w:t>
      </w:r>
      <w:proofErr w:type="gramEnd"/>
    </w:p>
    <w:p w:rsidR="00070002" w:rsidRPr="00816AD4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году состоялось 2 заседания комиссии.</w:t>
      </w:r>
    </w:p>
    <w:p w:rsidR="00070002" w:rsidRDefault="00070002" w:rsidP="0007000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48" w:rsidRDefault="00016948" w:rsidP="00D7607E">
      <w:pPr>
        <w:spacing w:after="0" w:line="240" w:lineRule="auto"/>
      </w:pPr>
      <w:r>
        <w:separator/>
      </w:r>
    </w:p>
  </w:endnote>
  <w:endnote w:type="continuationSeparator" w:id="0">
    <w:p w:rsidR="00016948" w:rsidRDefault="00016948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48" w:rsidRDefault="00016948" w:rsidP="00D7607E">
      <w:pPr>
        <w:spacing w:after="0" w:line="240" w:lineRule="auto"/>
      </w:pPr>
      <w:r>
        <w:separator/>
      </w:r>
    </w:p>
  </w:footnote>
  <w:footnote w:type="continuationSeparator" w:id="0">
    <w:p w:rsidR="00016948" w:rsidRDefault="00016948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8D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9742B"/>
    <w:rsid w:val="000E6B34"/>
    <w:rsid w:val="001201C6"/>
    <w:rsid w:val="00151F5A"/>
    <w:rsid w:val="001873DA"/>
    <w:rsid w:val="00210F66"/>
    <w:rsid w:val="00257F8D"/>
    <w:rsid w:val="002B1146"/>
    <w:rsid w:val="00325041"/>
    <w:rsid w:val="00370FEC"/>
    <w:rsid w:val="003D1FB0"/>
    <w:rsid w:val="00404959"/>
    <w:rsid w:val="004B3C65"/>
    <w:rsid w:val="004E3D56"/>
    <w:rsid w:val="00512E5D"/>
    <w:rsid w:val="0051408F"/>
    <w:rsid w:val="00563F5B"/>
    <w:rsid w:val="00696269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975F38"/>
    <w:rsid w:val="00987778"/>
    <w:rsid w:val="00AE7D7F"/>
    <w:rsid w:val="00B250CF"/>
    <w:rsid w:val="00BA6421"/>
    <w:rsid w:val="00C05C25"/>
    <w:rsid w:val="00C63857"/>
    <w:rsid w:val="00C74EE0"/>
    <w:rsid w:val="00C849E9"/>
    <w:rsid w:val="00CA042B"/>
    <w:rsid w:val="00CD36C2"/>
    <w:rsid w:val="00D27668"/>
    <w:rsid w:val="00D7607E"/>
    <w:rsid w:val="00DE35C9"/>
    <w:rsid w:val="00E13EE0"/>
    <w:rsid w:val="00E14C2D"/>
    <w:rsid w:val="00E50ED5"/>
    <w:rsid w:val="00ED2D13"/>
    <w:rsid w:val="00F10D50"/>
    <w:rsid w:val="00F252CD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5</cp:revision>
  <cp:lastPrinted>2016-07-04T08:57:00Z</cp:lastPrinted>
  <dcterms:created xsi:type="dcterms:W3CDTF">2017-04-24T13:29:00Z</dcterms:created>
  <dcterms:modified xsi:type="dcterms:W3CDTF">2017-05-02T11:58:00Z</dcterms:modified>
</cp:coreProperties>
</file>