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6B" w:rsidRPr="0058186B" w:rsidRDefault="0058186B" w:rsidP="00581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86B">
        <w:rPr>
          <w:rFonts w:ascii="Times New Roman" w:hAnsi="Times New Roman" w:cs="Times New Roman"/>
          <w:b/>
          <w:sz w:val="28"/>
          <w:szCs w:val="28"/>
        </w:rPr>
        <w:t xml:space="preserve">Итоги надзора Управления </w:t>
      </w:r>
      <w:proofErr w:type="spellStart"/>
      <w:r w:rsidRPr="0058186B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58186B">
        <w:rPr>
          <w:rFonts w:ascii="Times New Roman" w:hAnsi="Times New Roman" w:cs="Times New Roman"/>
          <w:b/>
          <w:sz w:val="28"/>
          <w:szCs w:val="28"/>
        </w:rPr>
        <w:t xml:space="preserve"> по Новгородской области  по финансовым услугам за 2018 год; итоги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58186B">
        <w:rPr>
          <w:rFonts w:ascii="Times New Roman" w:hAnsi="Times New Roman" w:cs="Times New Roman"/>
          <w:b/>
          <w:sz w:val="28"/>
          <w:szCs w:val="28"/>
        </w:rPr>
        <w:t xml:space="preserve"> по повышению финансовой грамотности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РФ от 28 августа 2017 года №1837-р утверждена Стратегия государственной политики в области защиты прав потребителей на период до 2030 года. Стратегия подготовлена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 во исполнение поручения Президента России по итогам заседания президиума Госсовета по вопросу </w:t>
      </w:r>
      <w:proofErr w:type="gramStart"/>
      <w:r>
        <w:rPr>
          <w:sz w:val="28"/>
          <w:szCs w:val="28"/>
        </w:rPr>
        <w:t>развития национальной системы защиты прав потребителей</w:t>
      </w:r>
      <w:proofErr w:type="gramEnd"/>
      <w:r>
        <w:rPr>
          <w:sz w:val="28"/>
          <w:szCs w:val="28"/>
        </w:rPr>
        <w:t xml:space="preserve"> 18 апреля 2017 года, который проходи в г.В.Новгороде.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цели - соблюдение прав граждан на доступ к безопасным товарам и услугам; повышение уровня и качества жизни населения, защита интересов потребителей всех слоев при акцентировании внимания на социально-уязвимые группы населения.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Первоочередное внимание в стратегии  уделено таким важным для здоровья людей сферам, как продукты питания, электронная коммерция, кредитование и др. Акцентировано внимание на социально уязвимых группах населения (люди старшего поколения, несовершеннолетние и др. категории), изменение в законодательстве о защите прав потребителей.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поручений предполагается также активизация работы, связанная с решением ряда проблем на рынке финансовых услуг.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 многочисленными обращениями граждан с жалобами на действия финансовых организаций, в помощь потребителям с 3 сентября 2018 года заработала  специальная служба (уполномоченный по правам потребителей финансовых услуг).  </w:t>
      </w:r>
    </w:p>
    <w:p w:rsidR="0058186B" w:rsidRDefault="0058186B" w:rsidP="0058186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Принят Федеральный закон от 04.06.2018 N 123-ФЗ 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"Об уполномоченном по  правам потребителей 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финансовых услуг“, который </w:t>
      </w:r>
      <w:r>
        <w:rPr>
          <w:sz w:val="28"/>
          <w:szCs w:val="28"/>
        </w:rPr>
        <w:t xml:space="preserve"> глобально изменит работу по взысканию денег потребителями с банков и страховых компаний. Появится должность финансового уполномоченного, который будет посредником между финансовой организацией (банком, страховой компанией и т.д.) и потребителем. Во многих случаях обратиться в суд в обход финансового омбудсмена не получится. </w:t>
      </w:r>
    </w:p>
    <w:p w:rsidR="0058186B" w:rsidRDefault="0058186B" w:rsidP="005818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 совершенствования практики реализации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и его территориальными органами имеющихся надзорных полномочий по </w:t>
      </w:r>
      <w:r>
        <w:rPr>
          <w:sz w:val="28"/>
          <w:szCs w:val="28"/>
        </w:rPr>
        <w:lastRenderedPageBreak/>
        <w:t>обеспечению защиты прав потребителей финансовых услуг в административном и гражданско-правовом порядке всецело сохраняет свою актуальность, поскольку эффективная защита прав потребителей в данной области, также как и вопросы повышения финансовой грамотности населения, по мере развития финансовой сферы становятся все более значимым индикатором состояния рынка финансовых услуг с точки</w:t>
      </w:r>
      <w:proofErr w:type="gramEnd"/>
      <w:r>
        <w:rPr>
          <w:sz w:val="28"/>
          <w:szCs w:val="28"/>
        </w:rPr>
        <w:t xml:space="preserve"> зрения его доступности, открытости и прозрачности.</w:t>
      </w:r>
    </w:p>
    <w:p w:rsidR="0058186B" w:rsidRDefault="0058186B" w:rsidP="0058186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A4D">
        <w:rPr>
          <w:b/>
          <w:bCs/>
          <w:color w:val="000000"/>
          <w:sz w:val="28"/>
          <w:szCs w:val="28"/>
          <w:u w:val="single"/>
        </w:rPr>
        <w:t>Защита прав потребителей финансовых услуг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находится в числе приоритетных направлений деятельности Федеральной службы по надзору в сфере защиты прав потребителей и благополучия человека.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 последовательно и системно проводит работу, направленную на обеспечение прав потребителей на рынке финансовых услуг. Финансовые услуги, и, прежде всего, потребительское кредитование являются наиболее сложным сегментом потребительского рынка.</w:t>
      </w:r>
    </w:p>
    <w:p w:rsidR="0058186B" w:rsidRDefault="0058186B" w:rsidP="0058186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за  2018 год  проведено </w:t>
      </w:r>
      <w:r>
        <w:rPr>
          <w:b/>
          <w:sz w:val="28"/>
          <w:szCs w:val="28"/>
        </w:rPr>
        <w:t>28 мероприятий по контролю</w:t>
      </w:r>
      <w:r>
        <w:rPr>
          <w:sz w:val="28"/>
          <w:szCs w:val="28"/>
        </w:rPr>
        <w:t xml:space="preserve">, из них: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– внеплановых проверок, из которых  9 по обращениям граждан на нарушение их прав кредитными организациями , 5 по исполнению ранее выданных </w:t>
      </w:r>
      <w:r>
        <w:rPr>
          <w:bCs/>
          <w:sz w:val="28"/>
          <w:szCs w:val="28"/>
        </w:rPr>
        <w:t xml:space="preserve"> Управлением предписаний об устранении выявленных нарушений и по обращениям потребителей возбуждено 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дел об административных правонарушениях (за 2017 г.-  </w:t>
      </w:r>
      <w:r>
        <w:rPr>
          <w:b/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мероприятия по контролю, из них-12 плановые, 3 внеплановые, 9-административных</w:t>
      </w:r>
      <w:proofErr w:type="gramEnd"/>
      <w:r>
        <w:rPr>
          <w:bCs/>
          <w:sz w:val="28"/>
          <w:szCs w:val="28"/>
        </w:rPr>
        <w:t xml:space="preserve"> дел).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Управление поступило всего </w:t>
      </w:r>
      <w:r>
        <w:rPr>
          <w:b/>
          <w:sz w:val="28"/>
          <w:szCs w:val="28"/>
        </w:rPr>
        <w:t>136 обращений</w:t>
      </w:r>
      <w:r>
        <w:rPr>
          <w:sz w:val="28"/>
          <w:szCs w:val="28"/>
        </w:rPr>
        <w:t xml:space="preserve">  от граждан на нарушение их прав кредитными организациями (за 2017г. -  108). 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Центром по информированию  и консультированию потребителей</w:t>
      </w:r>
      <w:r>
        <w:rPr>
          <w:sz w:val="28"/>
          <w:szCs w:val="28"/>
        </w:rPr>
        <w:t xml:space="preserve"> ФБУЗ «Центр гигиены и эпидемиологии в Новгородской области» в рамках работы было </w:t>
      </w:r>
      <w:r>
        <w:rPr>
          <w:b/>
          <w:sz w:val="28"/>
          <w:szCs w:val="28"/>
        </w:rPr>
        <w:t>рассмотрено 210 обращений</w:t>
      </w:r>
      <w:r>
        <w:rPr>
          <w:sz w:val="28"/>
          <w:szCs w:val="28"/>
        </w:rPr>
        <w:t xml:space="preserve"> граждан  (за  2017г. -  238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</w:t>
      </w:r>
    </w:p>
    <w:p w:rsidR="0058186B" w:rsidRDefault="0058186B" w:rsidP="005818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 нарушений выразился 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:</w:t>
      </w:r>
    </w:p>
    <w:p w:rsidR="0058186B" w:rsidRDefault="0058186B" w:rsidP="0058186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навязывании</w:t>
      </w:r>
      <w:proofErr w:type="gramEnd"/>
      <w:r>
        <w:rPr>
          <w:sz w:val="28"/>
          <w:szCs w:val="28"/>
        </w:rPr>
        <w:t xml:space="preserve"> заёмщику страхования жизни, здоровья до заключения кредитного договора;</w:t>
      </w:r>
    </w:p>
    <w:p w:rsidR="0058186B" w:rsidRDefault="0058186B" w:rsidP="0058186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информации об услуге (о комиссиях, страховых вознаграждениях при заключении  договоров банковского вклада, кредитных договоров)</w:t>
      </w:r>
    </w:p>
    <w:p w:rsidR="0058186B" w:rsidRDefault="0058186B" w:rsidP="0058186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включении</w:t>
      </w:r>
      <w:proofErr w:type="gramEnd"/>
      <w:r>
        <w:rPr>
          <w:sz w:val="28"/>
          <w:szCs w:val="28"/>
        </w:rPr>
        <w:t xml:space="preserve"> в кредитные договоры, договоры  банковского вклада условий ущемляющих права потребителей, а именно:</w:t>
      </w:r>
    </w:p>
    <w:p w:rsidR="0058186B" w:rsidRDefault="0058186B" w:rsidP="0058186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(возможность  </w:t>
      </w:r>
      <w:proofErr w:type="spellStart"/>
      <w:r>
        <w:rPr>
          <w:sz w:val="28"/>
          <w:szCs w:val="28"/>
        </w:rPr>
        <w:t>безакцептного</w:t>
      </w:r>
      <w:proofErr w:type="spellEnd"/>
      <w:r>
        <w:rPr>
          <w:sz w:val="28"/>
          <w:szCs w:val="28"/>
        </w:rPr>
        <w:t xml:space="preserve">  списания банком денежных средств заемщика, без его распоряжения;</w:t>
      </w:r>
    </w:p>
    <w:p w:rsidR="0058186B" w:rsidRDefault="0058186B" w:rsidP="0058186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предоставлении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возможности вкладчику самостоятельно выразить свое согласие/несогласие </w:t>
      </w:r>
      <w:r>
        <w:rPr>
          <w:sz w:val="28"/>
          <w:szCs w:val="28"/>
        </w:rPr>
        <w:t xml:space="preserve">об одностороннем изменении действующих тарифов Банка; </w:t>
      </w:r>
    </w:p>
    <w:p w:rsidR="0058186B" w:rsidRDefault="0058186B" w:rsidP="0058186B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право Банка  о взыскании процентов в размере удвоенной ставки рефинансирования Банка России при признании Кредитного договора 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58186B" w:rsidRDefault="0058186B" w:rsidP="005818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Банка  взыскания с Поручителя  за каждый факт неисполнения  обязательства неустойку и др.)</w:t>
      </w:r>
    </w:p>
    <w:p w:rsidR="0058186B" w:rsidRDefault="0058186B" w:rsidP="005818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 выполнены мелким трудно читаемым шрифтом и др.</w:t>
      </w:r>
    </w:p>
    <w:p w:rsidR="0058186B" w:rsidRDefault="0058186B" w:rsidP="0058186B">
      <w:pPr>
        <w:ind w:firstLine="709"/>
        <w:jc w:val="both"/>
        <w:rPr>
          <w:sz w:val="28"/>
          <w:szCs w:val="28"/>
        </w:rPr>
      </w:pPr>
    </w:p>
    <w:p w:rsidR="0058186B" w:rsidRDefault="0058186B" w:rsidP="005818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проведенных мероприятий по контролю в отношении  исполнителей финансовых услуг составлено </w:t>
      </w:r>
      <w:r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протоколов об административных правонарушениях (за 2017 г.- 33 протокола), по результатам  рассмотрения,  которых наложено штрафов на общую сумму </w:t>
      </w:r>
      <w:r>
        <w:rPr>
          <w:b/>
          <w:sz w:val="28"/>
          <w:szCs w:val="28"/>
        </w:rPr>
        <w:t>261,0</w:t>
      </w:r>
      <w:r>
        <w:rPr>
          <w:sz w:val="28"/>
          <w:szCs w:val="28"/>
        </w:rPr>
        <w:t xml:space="preserve"> тыс. рублей 9 за 2017 г.-225,0 тыс. рублей).</w:t>
      </w:r>
      <w:proofErr w:type="gramEnd"/>
    </w:p>
    <w:p w:rsidR="0058186B" w:rsidRDefault="0058186B" w:rsidP="00581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мероприятий финансовым организациям было выдано 7 предписаний об устранении выявленных нарушений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2017 г.-13) , 10 представлений об устранении причин и условий способствовавших совершению административных правонарушений ( за 2017 г.- 8).</w:t>
      </w:r>
    </w:p>
    <w:p w:rsidR="0058186B" w:rsidRDefault="0058186B" w:rsidP="00581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суды подано 28 заявлений о признании недействительными  постановлений, предписаний, представлений Управления,  по 15 делам решения приняты в пользу Управления, 8 заявлений в настоящее время находятся  на рассмотрении в судах  первой инстанции. Четыре банка обжалуют постановления, предписание Управления в судах Апелляционных инстанций.  Один банк обжалует постановление, предписание Управления в судах Кассационной инстанции.</w:t>
      </w:r>
    </w:p>
    <w:p w:rsidR="0058186B" w:rsidRDefault="0058186B" w:rsidP="0058186B">
      <w:pPr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подан в суд иск в целях защиты прав неопределенного круга потребителей в отношении  СПАО «РЕСО Гарантия» в связи с включением в типовые формы кредитных договоров условий ущемляющих права потребителей. По решению Пресненского районного суда от 28.08.2018 г. исковые требования Управления о защите прав </w:t>
      </w:r>
      <w:r>
        <w:rPr>
          <w:sz w:val="28"/>
          <w:szCs w:val="28"/>
        </w:rPr>
        <w:lastRenderedPageBreak/>
        <w:t xml:space="preserve">неопределенного круга потребителей удовлетворены. </w:t>
      </w:r>
      <w:r>
        <w:t xml:space="preserve"> </w:t>
      </w:r>
      <w:proofErr w:type="gramStart"/>
      <w:r>
        <w:rPr>
          <w:sz w:val="28"/>
          <w:szCs w:val="28"/>
        </w:rPr>
        <w:t>Признать действия СПАО «</w:t>
      </w:r>
      <w:proofErr w:type="spellStart"/>
      <w:r>
        <w:rPr>
          <w:sz w:val="28"/>
          <w:szCs w:val="28"/>
        </w:rPr>
        <w:t>РЕСО-Гарантия</w:t>
      </w:r>
      <w:proofErr w:type="spellEnd"/>
      <w:r>
        <w:rPr>
          <w:sz w:val="28"/>
          <w:szCs w:val="28"/>
        </w:rPr>
        <w:t>» нарушающими права неопределенного круга потребителей», выразившиеся во включении в предлагаемые к заключению договоры страхования от несчастных случаев и болезней; расходов граждан, выезжающих за пределы постоянного места жительства; средств автотранспорта; от несчастных случаев; от огня и других опасностей; медицинского страхования граждан (полис и Правила, являющиеся неотъемлемой частью Договора), условий, ущемляющих права потребителей.</w:t>
      </w:r>
      <w:proofErr w:type="gramEnd"/>
    </w:p>
    <w:p w:rsidR="0058186B" w:rsidRDefault="0058186B" w:rsidP="005818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 году специалисты отдела защиты прав потребителей и контроля за соблюдением правил реализации товаров, работ, услуг Управления, а также его территориальных отделов  в порядке ст. 47 Гражданско-процессуального кодекса Российской Федерации, ст. 40 Закона РФ «О защите прав потребителей»  для дачи заключения по делу в целях защиты прав потребителей приняли  участие в  гражданско-правовой защите потребителей финансовых услуг  в  10  судебных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>, которые были удовлетворены в пользу потребителей, потребителям присуждено денежных средств  в сумме 475,0 тыс. рублей.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Судебная практика показывает, что заключения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делам в сфере защиты прав потребителей часто имеют определяющий характер для разрешения по существу гражданских споров в сфере потребительских правоотношений. </w:t>
      </w:r>
    </w:p>
    <w:p w:rsidR="0058186B" w:rsidRDefault="0058186B" w:rsidP="005818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86B" w:rsidRDefault="0058186B" w:rsidP="0058186B">
      <w:pPr>
        <w:ind w:firstLine="708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На протяжении нескольких лет п</w:t>
      </w:r>
      <w:r>
        <w:rPr>
          <w:sz w:val="28"/>
          <w:szCs w:val="28"/>
        </w:rPr>
        <w:t>од руководством Минфина России и</w:t>
      </w:r>
      <w:r>
        <w:rPr>
          <w:color w:val="262626"/>
          <w:sz w:val="28"/>
          <w:szCs w:val="28"/>
        </w:rPr>
        <w:t xml:space="preserve"> действует </w:t>
      </w:r>
      <w:r w:rsidRPr="00FD5A4D">
        <w:rPr>
          <w:b/>
          <w:color w:val="262626"/>
          <w:sz w:val="28"/>
          <w:szCs w:val="28"/>
        </w:rPr>
        <w:t>совместный проект «Повышение уровня финансовой грамотности российских граждан»</w:t>
      </w:r>
      <w:r>
        <w:rPr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непосредственном участии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рамках которого продолжает осуществляться ряд важных мероприятий по решению принципиальных вопросов защиты прав потребителей финансовых услуг, повышению уровня финансовой грамотности и расширению доступности финансовых услуг. Особое внимание в рамках реализации Проекта уделяется вопросам обучения школьников, в том числе разработке и использованию учебно-методических материалов.</w:t>
      </w:r>
    </w:p>
    <w:p w:rsidR="0058186B" w:rsidRDefault="0058186B" w:rsidP="005818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области </w:t>
      </w:r>
      <w:r>
        <w:rPr>
          <w:b/>
          <w:sz w:val="28"/>
          <w:szCs w:val="28"/>
        </w:rPr>
        <w:t>с декабря 2017 года</w:t>
      </w:r>
      <w:r>
        <w:rPr>
          <w:sz w:val="28"/>
          <w:szCs w:val="28"/>
        </w:rPr>
        <w:t xml:space="preserve"> действует приоритетный проект «Повышение финансовой грамотности населения Новгородской </w:t>
      </w:r>
      <w:r>
        <w:rPr>
          <w:sz w:val="28"/>
          <w:szCs w:val="28"/>
        </w:rPr>
        <w:lastRenderedPageBreak/>
        <w:t>области», под председательством заместителя Губернатора области Мининой Вероники Витальевны, в состав входят представители Управления, Центробанка, Сбербанка, Банка ВТБ, страховые организации, Министерство образования, Министерство труда и социальной защиты, Министерство финансов, НОВГУ  и др.   Целью которого является формирование у населения разумного финансового поведения, ответственного отношения к личным</w:t>
      </w:r>
      <w:proofErr w:type="gramEnd"/>
      <w:r>
        <w:rPr>
          <w:sz w:val="28"/>
          <w:szCs w:val="28"/>
        </w:rPr>
        <w:t xml:space="preserve"> финансам.</w:t>
      </w:r>
    </w:p>
    <w:p w:rsidR="0058186B" w:rsidRDefault="0058186B" w:rsidP="0058186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финансовой грамотности населения, в том числе посредством информирования и консультирования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потребителей финансовых услуг, является одной из важнейших государственных задач, неразрывно связанных с повышением доверия населения к финансовым рынкам и обеспечением стабильности финансовой системы в целом.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Управлением совместно с </w:t>
      </w:r>
      <w:r>
        <w:rPr>
          <w:sz w:val="28"/>
          <w:szCs w:val="28"/>
        </w:rPr>
        <w:t xml:space="preserve">Центом информирования и консультирования граждан ФБУЗ «Центр гигиены и эпидемиологии в Н.О.»  разработан План совместных  информационно-просветительских мероприятий, в рамках которого был проведен ряд просветительских мероприятий по вопросам предоставления финансовых услуг: </w:t>
      </w:r>
    </w:p>
    <w:p w:rsidR="0058186B" w:rsidRDefault="0058186B" w:rsidP="005818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Тематические «горячие линии» - </w:t>
      </w:r>
      <w:r>
        <w:rPr>
          <w:b/>
          <w:color w:val="000000"/>
          <w:sz w:val="28"/>
          <w:szCs w:val="28"/>
        </w:rPr>
        <w:t>7,</w:t>
      </w:r>
      <w:r>
        <w:rPr>
          <w:color w:val="000000"/>
          <w:sz w:val="28"/>
          <w:szCs w:val="28"/>
        </w:rPr>
        <w:t xml:space="preserve"> открытые дискуссии, тренинги, анкетирование учащихся общеобразовательных учреждений города и области - анкетированием охвачено- </w:t>
      </w:r>
      <w:r>
        <w:rPr>
          <w:b/>
          <w:color w:val="000000"/>
          <w:sz w:val="28"/>
          <w:szCs w:val="28"/>
        </w:rPr>
        <w:t>1550 граждан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уроки, внеклассные мероприятия (викторины) по повышению финансовой грамотности; игровые уроки в детских садах- </w:t>
      </w:r>
      <w:r>
        <w:rPr>
          <w:b/>
          <w:color w:val="000000"/>
          <w:sz w:val="28"/>
          <w:szCs w:val="28"/>
        </w:rPr>
        <w:t>6 уроков</w:t>
      </w:r>
      <w:r>
        <w:rPr>
          <w:color w:val="000000"/>
          <w:sz w:val="28"/>
          <w:szCs w:val="28"/>
        </w:rPr>
        <w:t>; конкурс памяток со студентами гуманитарного института НОВГУ; оказывалась помощь в составлении претензий в адрес исполнителей финансовых услуг-</w:t>
      </w:r>
      <w:r>
        <w:rPr>
          <w:b/>
          <w:color w:val="000000"/>
          <w:sz w:val="28"/>
          <w:szCs w:val="28"/>
        </w:rPr>
        <w:t>19 претензий</w:t>
      </w:r>
      <w:r>
        <w:rPr>
          <w:color w:val="000000"/>
          <w:sz w:val="28"/>
          <w:szCs w:val="28"/>
        </w:rPr>
        <w:t xml:space="preserve">; </w:t>
      </w:r>
      <w:proofErr w:type="gramStart"/>
      <w:r>
        <w:rPr>
          <w:color w:val="000000"/>
          <w:sz w:val="28"/>
          <w:szCs w:val="28"/>
        </w:rPr>
        <w:t>выездные общественные приемные в ТЦ города-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 выездные консультационные дни (по Новгородской области) в Администрациях (поселковых советах) органов местного самоуправления-</w:t>
      </w: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; лекции в общественной организации для ветеранов труда, в центре «Добро» для пожилых людей; размещение информационных материалов на сайте Управления (создан баннер Повышение финансовой грамотности)- </w:t>
      </w:r>
      <w:r>
        <w:rPr>
          <w:b/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; размещение в районных газетах  информаций по финансовым услугам- </w:t>
      </w:r>
      <w:r>
        <w:rPr>
          <w:b/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 постоянное консультирование в МФЦ (ведет прием специалист Управления); информационный киоск содержит нормативно-правовую базу по финансовым услугам в помощь потребителям.  </w:t>
      </w:r>
    </w:p>
    <w:p w:rsidR="0058186B" w:rsidRDefault="0058186B" w:rsidP="0058186B">
      <w:pPr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</w:rPr>
        <w:lastRenderedPageBreak/>
        <w:t xml:space="preserve">За 9 месяцев 2018 года было охвачено более 3700 участий граждан в мероприятиях проекта.  </w:t>
      </w:r>
    </w:p>
    <w:p w:rsidR="0058186B" w:rsidRDefault="0058186B" w:rsidP="0058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сфера защиты прав потребителей в сегменте финансовых услуг продолжает оставаться актуальной, а соответствующие правомочия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связанные с осуществлением федерального государственного надзора в области защиты прав потребителей, со стороны пострадавших заемщиков по-прежнему востребованы и объективно необходима сфера защиты прав потребителей в сегменте финансовых услуг. </w:t>
      </w:r>
    </w:p>
    <w:p w:rsidR="0058186B" w:rsidRDefault="0058186B" w:rsidP="0058186B">
      <w:pPr>
        <w:ind w:firstLine="709"/>
        <w:jc w:val="both"/>
        <w:rPr>
          <w:sz w:val="28"/>
          <w:szCs w:val="28"/>
        </w:rPr>
      </w:pPr>
    </w:p>
    <w:p w:rsidR="0058186B" w:rsidRDefault="0058186B" w:rsidP="0058186B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04.04.2018 № 01/4330-2018-27 «О направлении обновленных печатных материалов для их  распространения в рамках участия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Проекте «Содействия повышения уровня финансовой грамотности населения и развитию финансового образования в Российской Федерации»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Новгородской области</w:t>
      </w:r>
      <w:r>
        <w:rPr>
          <w:sz w:val="28"/>
          <w:szCs w:val="28"/>
        </w:rPr>
        <w:tab/>
        <w:t xml:space="preserve"> с целью надлежащей организации распространения полученных печатных материалов Управлением разработан «План мероприятий по информированию общественности о различных аспектах защиты прав</w:t>
      </w:r>
      <w:proofErr w:type="gramEnd"/>
      <w:r>
        <w:rPr>
          <w:sz w:val="28"/>
          <w:szCs w:val="28"/>
        </w:rPr>
        <w:t xml:space="preserve"> потребителей финансовых услуг»,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определен комплекс действий специалистов по защите прав потребителей по распространению печатных информационных материалов среди населения. Всего Управлением было распространено 12000 экземпляров  продукции среди </w:t>
      </w:r>
      <w:r>
        <w:rPr>
          <w:color w:val="111111"/>
          <w:sz w:val="28"/>
          <w:szCs w:val="28"/>
        </w:rPr>
        <w:t xml:space="preserve">школьников, студентов, педагогов; </w:t>
      </w:r>
      <w:proofErr w:type="gramStart"/>
      <w:r>
        <w:rPr>
          <w:color w:val="111111"/>
          <w:sz w:val="28"/>
          <w:szCs w:val="28"/>
        </w:rPr>
        <w:t>материалы  были направлены в Министерство образования и молодежной политики Новгородской области, Комитет образования г. Великий Новгород для дальнейшего распространения (по согласованию) в образовательные учреждения, находящиеся на территории области, в том числе: учебные заведения начального, среднего, высшего и иного образования, в том числе дополнительного,  библиотеки, социальные организации по работе с детьми и подростками, общественные организации и фонды, работающие с детьми;</w:t>
      </w:r>
      <w:proofErr w:type="gramEnd"/>
    </w:p>
    <w:p w:rsidR="0058186B" w:rsidRDefault="0058186B" w:rsidP="0058186B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муниципальных районов области и в Администрацию областного центра; различные Министерства;  в  общественные организации;</w:t>
      </w:r>
    </w:p>
    <w:p w:rsidR="0058186B" w:rsidRDefault="0058186B" w:rsidP="0058186B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адрес крупных организаций – работодателей с целью распространения материалов, содействующих повышению образования работников в сфере </w:t>
      </w:r>
      <w:r>
        <w:rPr>
          <w:color w:val="111111"/>
          <w:sz w:val="28"/>
          <w:szCs w:val="28"/>
        </w:rPr>
        <w:lastRenderedPageBreak/>
        <w:t>финансовых услуг на подведомственной им территории, а именно: ОАО «Новгородский завод Стекловолокна», ПАО «</w:t>
      </w:r>
      <w:proofErr w:type="spellStart"/>
      <w:r>
        <w:rPr>
          <w:color w:val="111111"/>
          <w:sz w:val="28"/>
          <w:szCs w:val="28"/>
        </w:rPr>
        <w:t>Акрон</w:t>
      </w:r>
      <w:proofErr w:type="spellEnd"/>
      <w:r>
        <w:rPr>
          <w:color w:val="111111"/>
          <w:sz w:val="28"/>
          <w:szCs w:val="28"/>
        </w:rPr>
        <w:t>»; в адрес Главного управления Центрального банка Российской Федерации по Новгородской области;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ГОАУ «Многофункциональный центр», УФНС по Новгородской области, Центра занятости населения Великого Новгорода, Отделения ПФ РФ по Новгородской области и др. организации.</w:t>
      </w:r>
    </w:p>
    <w:p w:rsidR="0058186B" w:rsidRDefault="0058186B" w:rsidP="0058186B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Кроме того, в рамках повышения финансовой грамотности населения среди потребителей, обращающихся непосредственно в общественную приемную Управления, на информационном стенде предоставлены для ознакомления буклеты по финансовым услугам.</w:t>
      </w:r>
    </w:p>
    <w:p w:rsidR="0058186B" w:rsidRDefault="0058186B" w:rsidP="0058186B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Также с целью доведения информационных материалов до сведения граждан, от которых поступили обращения по вопросам, связанным с нарушением прав в финансовой сфере, Управлением направляются буклеты в одном конверте с ответом на обращение. Категория буклетов для направления гражданам определяется по содержанию обращения.   </w:t>
      </w:r>
    </w:p>
    <w:p w:rsidR="0058186B" w:rsidRDefault="0058186B" w:rsidP="005818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дальнейшем, работа Управления по распространению информационных материалов будет продолжена.</w:t>
      </w:r>
    </w:p>
    <w:p w:rsidR="0058186B" w:rsidRDefault="0058186B" w:rsidP="0058186B">
      <w:pPr>
        <w:tabs>
          <w:tab w:val="left" w:pos="720"/>
        </w:tabs>
        <w:jc w:val="both"/>
        <w:rPr>
          <w:sz w:val="28"/>
          <w:szCs w:val="28"/>
        </w:rPr>
      </w:pPr>
    </w:p>
    <w:p w:rsidR="0058186B" w:rsidRDefault="0058186B" w:rsidP="0058186B">
      <w:pPr>
        <w:jc w:val="both"/>
        <w:rPr>
          <w:color w:val="404040"/>
          <w:sz w:val="28"/>
          <w:szCs w:val="28"/>
        </w:rPr>
      </w:pPr>
    </w:p>
    <w:p w:rsidR="0058186B" w:rsidRDefault="0058186B" w:rsidP="0058186B">
      <w:pPr>
        <w:jc w:val="both"/>
        <w:rPr>
          <w:color w:val="404040"/>
          <w:sz w:val="28"/>
          <w:szCs w:val="28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8186B" w:rsidRDefault="0058186B" w:rsidP="0058186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E5168" w:rsidRDefault="003E5168"/>
    <w:sectPr w:rsidR="003E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055"/>
    <w:multiLevelType w:val="hybridMultilevel"/>
    <w:tmpl w:val="CC1E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58186B"/>
    <w:rsid w:val="003E5168"/>
    <w:rsid w:val="0058186B"/>
    <w:rsid w:val="00B02F63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11337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2019-02-13T06:58:00Z</dcterms:created>
  <dcterms:modified xsi:type="dcterms:W3CDTF">2019-02-13T07:00:00Z</dcterms:modified>
</cp:coreProperties>
</file>